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Oświadczenie o przynależności lub braku przynależności do tej samej grupy kapitałowej, o której mowa w art. 24 ust. 1 pkt 23) ustawy Pzp</w:t>
            </w:r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19106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706AEA">
        <w:rPr>
          <w:rFonts w:ascii="Cambria" w:hAnsi="Cambria"/>
          <w:b/>
          <w:i/>
        </w:rPr>
        <w:t>„Dostawa</w:t>
      </w:r>
      <w:r w:rsidR="00191062" w:rsidRPr="00191062">
        <w:rPr>
          <w:rFonts w:ascii="Cambria" w:hAnsi="Cambria"/>
          <w:b/>
          <w:i/>
        </w:rPr>
        <w:t xml:space="preserve"> wyposażenia</w:t>
      </w:r>
      <w:r w:rsidR="00191062">
        <w:rPr>
          <w:rFonts w:ascii="Cambria" w:hAnsi="Cambria"/>
          <w:b/>
          <w:i/>
        </w:rPr>
        <w:t xml:space="preserve"> dla warsztatu technicznego </w:t>
      </w:r>
      <w:r w:rsidR="00191062" w:rsidRPr="00191062">
        <w:rPr>
          <w:rFonts w:ascii="Cambria" w:hAnsi="Cambria"/>
          <w:b/>
          <w:i/>
        </w:rPr>
        <w:t xml:space="preserve">CIS w Stefkowej” </w:t>
      </w:r>
      <w:r w:rsidRPr="00F61221">
        <w:rPr>
          <w:rFonts w:asciiTheme="majorHAnsi" w:hAnsiTheme="majorHAnsi" w:cs="Arial"/>
          <w:sz w:val="22"/>
          <w:szCs w:val="22"/>
        </w:rPr>
        <w:t>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3" w:rsidRDefault="00493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3" w:rsidRPr="00993339" w:rsidRDefault="00493548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B15503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B15503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RRG.271.1.27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CA" w:rsidRDefault="00B15503" w:rsidP="00F6122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CA" w:rsidRDefault="00B15503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91062"/>
    <w:rsid w:val="001E54A6"/>
    <w:rsid w:val="002E1BA6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06AE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93164"/>
    <w:rsid w:val="00AA7C1A"/>
    <w:rsid w:val="00B137B2"/>
    <w:rsid w:val="00B15503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Ola</cp:lastModifiedBy>
  <cp:revision>18</cp:revision>
  <dcterms:created xsi:type="dcterms:W3CDTF">2016-09-06T13:14:00Z</dcterms:created>
  <dcterms:modified xsi:type="dcterms:W3CDTF">2018-11-18T19:05:00Z</dcterms:modified>
</cp:coreProperties>
</file>